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E5D3C">
      <w:pPr>
        <w:pStyle w:val="13"/>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黑体" w:cs="Times New Roman"/>
          <w:color w:val="auto"/>
          <w:sz w:val="32"/>
        </w:rPr>
      </w:pPr>
      <w:bookmarkStart w:id="0" w:name="OLE_LINK4"/>
      <w:r>
        <w:rPr>
          <w:rFonts w:hint="default" w:ascii="Times New Roman" w:hAnsi="Times New Roman" w:eastAsia="黑体" w:cs="Times New Roman"/>
          <w:color w:val="auto"/>
          <w:sz w:val="32"/>
        </w:rPr>
        <w:t>附件1</w:t>
      </w:r>
    </w:p>
    <w:p w14:paraId="0B3F8EFB">
      <w:pPr>
        <w:pStyle w:val="13"/>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宋体" w:cs="Times New Roman"/>
          <w:color w:val="auto"/>
          <w:sz w:val="28"/>
        </w:rPr>
      </w:pPr>
    </w:p>
    <w:p w14:paraId="166B7DB1">
      <w:pPr>
        <w:pStyle w:val="13"/>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黔南民族职业技术学院20</w:t>
      </w:r>
      <w:r>
        <w:rPr>
          <w:rFonts w:hint="eastAsia" w:ascii="方正小标宋简体" w:hAnsi="方正小标宋简体" w:eastAsia="方正小标宋简体" w:cs="方正小标宋简体"/>
          <w:b w:val="0"/>
          <w:bCs/>
          <w:color w:val="auto"/>
          <w:sz w:val="44"/>
          <w:szCs w:val="44"/>
          <w:lang w:val="en-US" w:eastAsia="zh-CN"/>
        </w:rPr>
        <w:t>25</w:t>
      </w:r>
      <w:r>
        <w:rPr>
          <w:rFonts w:hint="eastAsia" w:ascii="方正小标宋简体" w:hAnsi="方正小标宋简体" w:eastAsia="方正小标宋简体" w:cs="方正小标宋简体"/>
          <w:b w:val="0"/>
          <w:bCs/>
          <w:color w:val="auto"/>
          <w:sz w:val="44"/>
          <w:szCs w:val="44"/>
        </w:rPr>
        <w:t>年度院级科研</w:t>
      </w:r>
    </w:p>
    <w:p w14:paraId="6F378297">
      <w:pPr>
        <w:pStyle w:val="13"/>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项目申报指南</w:t>
      </w:r>
    </w:p>
    <w:p w14:paraId="36E0922A">
      <w:pPr>
        <w:pStyle w:val="13"/>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rPr>
          <w:rFonts w:hint="default" w:ascii="Times New Roman" w:hAnsi="Times New Roman" w:eastAsia="仿宋_GB2312" w:cs="Times New Roman"/>
          <w:color w:val="auto"/>
          <w:sz w:val="32"/>
        </w:rPr>
      </w:pPr>
    </w:p>
    <w:p w14:paraId="112EDAB5">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为进一步推动</w:t>
      </w:r>
      <w:r>
        <w:rPr>
          <w:rFonts w:hint="eastAsia" w:ascii="Times New Roman" w:hAnsi="Times New Roman" w:eastAsia="仿宋_GB2312" w:cs="Times New Roman"/>
          <w:color w:val="auto"/>
          <w:sz w:val="32"/>
          <w:lang w:eastAsia="zh-CN"/>
        </w:rPr>
        <w:t>学院教师</w:t>
      </w:r>
      <w:r>
        <w:rPr>
          <w:rFonts w:hint="default" w:ascii="Times New Roman" w:hAnsi="Times New Roman" w:eastAsia="仿宋_GB2312" w:cs="Times New Roman"/>
          <w:color w:val="auto"/>
          <w:sz w:val="32"/>
        </w:rPr>
        <w:t>科研积极性，增强教师科研能力，提升学院</w:t>
      </w:r>
      <w:r>
        <w:rPr>
          <w:rFonts w:hint="eastAsia" w:ascii="Times New Roman" w:hAnsi="Times New Roman" w:eastAsia="仿宋_GB2312" w:cs="Times New Roman"/>
          <w:color w:val="auto"/>
          <w:sz w:val="32"/>
          <w:lang w:eastAsia="zh-CN"/>
        </w:rPr>
        <w:t>整体</w:t>
      </w:r>
      <w:r>
        <w:rPr>
          <w:rFonts w:hint="default" w:ascii="Times New Roman" w:hAnsi="Times New Roman" w:eastAsia="仿宋_GB2312" w:cs="Times New Roman"/>
          <w:color w:val="auto"/>
          <w:sz w:val="32"/>
        </w:rPr>
        <w:t>科研工作水平</w:t>
      </w:r>
      <w:r>
        <w:rPr>
          <w:rFonts w:hint="eastAsia"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rPr>
        <w:t>现启动20</w:t>
      </w:r>
      <w:r>
        <w:rPr>
          <w:rFonts w:hint="eastAsia" w:ascii="Times New Roman" w:hAnsi="Times New Roman" w:eastAsia="仿宋_GB2312" w:cs="Times New Roman"/>
          <w:color w:val="auto"/>
          <w:sz w:val="32"/>
          <w:lang w:val="en-US" w:eastAsia="zh-CN"/>
        </w:rPr>
        <w:t>25</w:t>
      </w:r>
      <w:r>
        <w:rPr>
          <w:rFonts w:hint="default" w:ascii="Times New Roman" w:hAnsi="Times New Roman" w:eastAsia="仿宋_GB2312" w:cs="Times New Roman"/>
          <w:color w:val="auto"/>
          <w:sz w:val="32"/>
        </w:rPr>
        <w:t>年度院级科研项目的申报工作。根据《黔南民族职业技术学院科研项目管理办法》的相关要求，现将院级科研项目申报有关事项通知如下：</w:t>
      </w:r>
    </w:p>
    <w:p w14:paraId="3C8621CD">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黑体" w:hAnsi="黑体" w:eastAsia="黑体" w:cs="黑体"/>
          <w:b w:val="0"/>
          <w:bCs/>
          <w:color w:val="auto"/>
          <w:sz w:val="32"/>
        </w:rPr>
      </w:pPr>
      <w:r>
        <w:rPr>
          <w:rFonts w:hint="eastAsia" w:ascii="黑体" w:hAnsi="黑体" w:eastAsia="黑体" w:cs="黑体"/>
          <w:b w:val="0"/>
          <w:bCs/>
          <w:color w:val="auto"/>
          <w:sz w:val="32"/>
        </w:rPr>
        <w:t>一、</w:t>
      </w:r>
      <w:r>
        <w:rPr>
          <w:rFonts w:hint="eastAsia" w:ascii="黑体" w:hAnsi="黑体" w:eastAsia="黑体" w:cs="黑体"/>
          <w:b w:val="0"/>
          <w:bCs/>
          <w:color w:val="auto"/>
          <w:sz w:val="32"/>
          <w:lang w:val="en-US" w:eastAsia="zh-CN"/>
        </w:rPr>
        <w:t>申报</w:t>
      </w:r>
      <w:r>
        <w:rPr>
          <w:rFonts w:hint="eastAsia" w:ascii="黑体" w:hAnsi="黑体" w:eastAsia="黑体" w:cs="黑体"/>
          <w:b w:val="0"/>
          <w:bCs/>
          <w:color w:val="auto"/>
          <w:sz w:val="32"/>
        </w:rPr>
        <w:t>项目类别</w:t>
      </w:r>
    </w:p>
    <w:p w14:paraId="2C8CBE57">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楷体_GB2312" w:hAnsi="楷体_GB2312" w:eastAsia="楷体_GB2312" w:cs="楷体_GB2312"/>
          <w:b w:val="0"/>
          <w:bCs w:val="0"/>
          <w:color w:val="auto"/>
          <w:sz w:val="32"/>
          <w:lang w:val="en-US" w:eastAsia="zh-CN"/>
        </w:rPr>
      </w:pPr>
      <w:r>
        <w:rPr>
          <w:rFonts w:hint="eastAsia" w:ascii="楷体_GB2312" w:hAnsi="楷体_GB2312" w:eastAsia="楷体_GB2312" w:cs="楷体_GB2312"/>
          <w:b w:val="0"/>
          <w:bCs w:val="0"/>
          <w:color w:val="auto"/>
          <w:sz w:val="32"/>
        </w:rPr>
        <w:t>（</w:t>
      </w:r>
      <w:r>
        <w:rPr>
          <w:rFonts w:hint="eastAsia" w:ascii="楷体_GB2312" w:hAnsi="楷体_GB2312" w:eastAsia="楷体_GB2312" w:cs="楷体_GB2312"/>
          <w:b w:val="0"/>
          <w:bCs w:val="0"/>
          <w:color w:val="auto"/>
          <w:sz w:val="32"/>
          <w:lang w:val="en-US" w:eastAsia="zh-CN"/>
        </w:rPr>
        <w:t>A</w:t>
      </w:r>
      <w:r>
        <w:rPr>
          <w:rFonts w:hint="eastAsia" w:ascii="楷体_GB2312" w:hAnsi="楷体_GB2312" w:eastAsia="楷体_GB2312" w:cs="楷体_GB2312"/>
          <w:b w:val="0"/>
          <w:bCs w:val="0"/>
          <w:color w:val="auto"/>
          <w:sz w:val="32"/>
        </w:rPr>
        <w:t>）</w:t>
      </w:r>
      <w:bookmarkStart w:id="1" w:name="OLE_LINK3"/>
      <w:r>
        <w:rPr>
          <w:rFonts w:hint="eastAsia" w:ascii="楷体_GB2312" w:hAnsi="楷体_GB2312" w:eastAsia="楷体_GB2312" w:cs="楷体_GB2312"/>
          <w:b w:val="0"/>
          <w:bCs w:val="0"/>
          <w:color w:val="auto"/>
          <w:sz w:val="32"/>
          <w:lang w:val="en-US" w:eastAsia="zh-CN"/>
        </w:rPr>
        <w:t>教学改革课题</w:t>
      </w:r>
      <w:bookmarkEnd w:id="1"/>
    </w:p>
    <w:p w14:paraId="097D2974">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Calibri" w:hAnsi="Calibri" w:eastAsia="仿宋_GB2312" w:cs="Calibri"/>
          <w:color w:val="auto"/>
          <w:sz w:val="32"/>
          <w:lang w:eastAsia="zh-CN"/>
        </w:rPr>
      </w:pPr>
      <w:r>
        <w:rPr>
          <w:rFonts w:hint="eastAsia" w:ascii="Calibri" w:hAnsi="Calibri" w:eastAsia="仿宋_GB2312" w:cs="Calibri"/>
          <w:color w:val="auto"/>
          <w:sz w:val="32"/>
          <w:lang w:val="en-US" w:eastAsia="zh-CN"/>
        </w:rPr>
        <w:t>教育改革课题</w:t>
      </w:r>
      <w:r>
        <w:rPr>
          <w:rFonts w:hint="default" w:ascii="Calibri" w:hAnsi="Calibri" w:eastAsia="仿宋_GB2312" w:cs="Calibri"/>
          <w:color w:val="auto"/>
          <w:sz w:val="32"/>
        </w:rPr>
        <w:t>主要</w:t>
      </w:r>
      <w:r>
        <w:rPr>
          <w:rFonts w:hint="eastAsia" w:ascii="Calibri" w:hAnsi="Calibri" w:eastAsia="仿宋_GB2312" w:cs="Calibri"/>
          <w:color w:val="auto"/>
          <w:sz w:val="32"/>
          <w:lang w:val="en-US" w:eastAsia="zh-CN"/>
        </w:rPr>
        <w:t>依据</w:t>
      </w:r>
      <w:r>
        <w:rPr>
          <w:rFonts w:hint="default" w:ascii="Calibri" w:hAnsi="Calibri" w:eastAsia="仿宋_GB2312" w:cs="Calibri"/>
          <w:color w:val="auto"/>
          <w:sz w:val="32"/>
        </w:rPr>
        <w:t>《职业教育改革实施方案》《关于推动现代职业教育高质量发展的意见》《关于深化现代职业教育体系建设改革的意见》等政策文件述及的职业教育教学改革发展热点难点</w:t>
      </w:r>
      <w:r>
        <w:rPr>
          <w:rFonts w:hint="eastAsia" w:ascii="Calibri" w:hAnsi="Calibri" w:eastAsia="仿宋_GB2312" w:cs="Calibri"/>
          <w:color w:val="auto"/>
          <w:sz w:val="32"/>
          <w:lang w:val="en-US" w:eastAsia="zh-CN"/>
        </w:rPr>
        <w:t>以及我校教学改革发展难点</w:t>
      </w:r>
      <w:r>
        <w:rPr>
          <w:rFonts w:hint="default" w:ascii="Calibri" w:hAnsi="Calibri" w:eastAsia="仿宋_GB2312" w:cs="Calibri"/>
          <w:color w:val="auto"/>
          <w:sz w:val="32"/>
        </w:rPr>
        <w:t>，开展理论研究和实践探索</w:t>
      </w:r>
      <w:r>
        <w:rPr>
          <w:rFonts w:hint="eastAsia" w:ascii="Calibri" w:hAnsi="Calibri" w:eastAsia="仿宋_GB2312" w:cs="Calibri"/>
          <w:color w:val="auto"/>
          <w:sz w:val="32"/>
          <w:lang w:eastAsia="zh-CN"/>
        </w:rPr>
        <w:t>。</w:t>
      </w:r>
    </w:p>
    <w:p w14:paraId="7CE48613">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Calibri" w:hAnsi="Calibri" w:eastAsia="仿宋_GB2312" w:cs="Calibri"/>
          <w:color w:val="auto"/>
          <w:sz w:val="32"/>
          <w:lang w:val="en-US" w:eastAsia="zh-CN"/>
        </w:rPr>
      </w:pPr>
      <w:r>
        <w:rPr>
          <w:rFonts w:hint="eastAsia" w:ascii="Calibri" w:hAnsi="Calibri" w:eastAsia="仿宋_GB2312" w:cs="Calibri"/>
          <w:color w:val="auto"/>
          <w:sz w:val="32"/>
          <w:lang w:val="en-US" w:eastAsia="zh-CN"/>
        </w:rPr>
        <w:t>研究内容：主要研究方向有现代职业教育体系建设改革、立德树人根本任务、产教融合校企合作、人才培养模式、专业内涵建设、课程教法教学、教材改革、教师队伍建设、人才培养质量评价与保障、实践教学改革、职业教育信息化等方面的改革研究与创新实践研究。</w:t>
      </w:r>
    </w:p>
    <w:p w14:paraId="19D31125">
      <w:pPr>
        <w:pStyle w:val="13"/>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rPr>
          <w:rFonts w:hint="eastAsia" w:ascii="楷体_GB2312" w:hAnsi="楷体_GB2312" w:eastAsia="楷体_GB2312" w:cs="楷体_GB2312"/>
          <w:b w:val="0"/>
          <w:bCs w:val="0"/>
          <w:color w:val="auto"/>
          <w:sz w:val="32"/>
          <w:lang w:val="en-US" w:eastAsia="zh-CN"/>
        </w:rPr>
      </w:pPr>
      <w:r>
        <w:rPr>
          <w:rFonts w:hint="eastAsia" w:ascii="楷体_GB2312" w:hAnsi="楷体_GB2312" w:eastAsia="楷体_GB2312" w:cs="楷体_GB2312"/>
          <w:b w:val="0"/>
          <w:bCs w:val="0"/>
          <w:color w:val="auto"/>
          <w:kern w:val="2"/>
          <w:sz w:val="32"/>
          <w:szCs w:val="22"/>
          <w:lang w:val="en-US" w:eastAsia="zh-CN" w:bidi="ar-SA"/>
        </w:rPr>
        <w:t>（B）</w:t>
      </w:r>
      <w:r>
        <w:rPr>
          <w:rFonts w:hint="eastAsia" w:ascii="楷体_GB2312" w:hAnsi="楷体_GB2312" w:eastAsia="楷体_GB2312" w:cs="楷体_GB2312"/>
          <w:b w:val="0"/>
          <w:bCs w:val="0"/>
          <w:color w:val="auto"/>
          <w:sz w:val="32"/>
          <w:lang w:val="en-US" w:eastAsia="zh-CN"/>
        </w:rPr>
        <w:t>思政课题</w:t>
      </w:r>
    </w:p>
    <w:p w14:paraId="4F791A65">
      <w:pPr>
        <w:pStyle w:val="13"/>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rPr>
          <w:rFonts w:hint="eastAsia" w:ascii="仿宋_GB2312" w:hAnsi="仿宋_GB2312" w:eastAsia="仿宋_GB2312" w:cs="仿宋_GB2312"/>
          <w:b w:val="0"/>
          <w:bCs w:val="0"/>
          <w:color w:val="auto"/>
          <w:sz w:val="32"/>
          <w:lang w:val="en-US" w:eastAsia="zh-CN"/>
        </w:rPr>
      </w:pPr>
      <w:r>
        <w:rPr>
          <w:rFonts w:hint="eastAsia" w:ascii="仿宋_GB2312" w:hAnsi="仿宋_GB2312" w:eastAsia="仿宋_GB2312" w:cs="仿宋_GB2312"/>
          <w:b w:val="0"/>
          <w:bCs w:val="0"/>
          <w:color w:val="auto"/>
          <w:sz w:val="32"/>
          <w:lang w:val="en-US" w:eastAsia="zh-CN"/>
        </w:rPr>
        <w:t>思政专项课题以习近平新时代中国特色社会主义思想为指导，紧紧围绕《关于新时代加强和改进思想政治工作的意见》《关于深化新时代学校思想政治理论课改革创新的若干意见》《全面推进“大思政课”建设的工作方案》《普通高校思政课教师队伍建设规划（2025-2027年）》等政策性文件，聚焦思想政治理论教育工作改革发展热点难点及我校思政队伍建设、思政课堂改革创新、思政课程与课程思政协同育人等方面，开展理论研究和实践探索。</w:t>
      </w:r>
    </w:p>
    <w:p w14:paraId="067A1ACB">
      <w:pPr>
        <w:pStyle w:val="13"/>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rPr>
          <w:rFonts w:hint="eastAsia" w:ascii="仿宋_GB2312" w:hAnsi="仿宋_GB2312" w:eastAsia="仿宋_GB2312" w:cs="仿宋_GB2312"/>
          <w:b w:val="0"/>
          <w:bCs w:val="0"/>
          <w:color w:val="auto"/>
          <w:sz w:val="32"/>
          <w:lang w:val="en-US" w:eastAsia="zh-CN"/>
        </w:rPr>
      </w:pPr>
      <w:r>
        <w:rPr>
          <w:rFonts w:hint="eastAsia" w:ascii="仿宋_GB2312" w:hAnsi="仿宋_GB2312" w:eastAsia="仿宋_GB2312" w:cs="仿宋_GB2312"/>
          <w:b w:val="0"/>
          <w:bCs w:val="0"/>
          <w:color w:val="auto"/>
          <w:sz w:val="32"/>
          <w:lang w:val="en-US" w:eastAsia="zh-CN"/>
        </w:rPr>
        <w:t>研究内容：主要研究方向有习近平新时代中国特色社会主义思想“三进”工作、思想政治理论课堂改革创新、思政教育工作队伍建设、大中小学思政课一体化、思政课程与课程思政协同育人、抗战精神融入高校思政课、思政小课堂和社会大课堂融通研究、铸牢中华民族共同体意识方面研究等相关内容。</w:t>
      </w:r>
    </w:p>
    <w:p w14:paraId="31A96F38">
      <w:pPr>
        <w:pStyle w:val="13"/>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rPr>
          <w:rFonts w:hint="eastAsia" w:ascii="楷体_GB2312" w:hAnsi="楷体_GB2312" w:eastAsia="楷体_GB2312" w:cs="楷体_GB2312"/>
          <w:b w:val="0"/>
          <w:bCs w:val="0"/>
          <w:color w:val="auto"/>
          <w:kern w:val="2"/>
          <w:sz w:val="32"/>
          <w:szCs w:val="22"/>
          <w:lang w:val="en-US" w:eastAsia="zh-CN" w:bidi="ar-SA"/>
        </w:rPr>
      </w:pPr>
      <w:r>
        <w:rPr>
          <w:rFonts w:hint="eastAsia" w:ascii="楷体_GB2312" w:hAnsi="楷体_GB2312" w:eastAsia="楷体_GB2312" w:cs="楷体_GB2312"/>
          <w:b w:val="0"/>
          <w:bCs w:val="0"/>
          <w:color w:val="auto"/>
          <w:kern w:val="2"/>
          <w:sz w:val="32"/>
          <w:szCs w:val="22"/>
          <w:lang w:val="en-US" w:eastAsia="zh-CN" w:bidi="ar-SA"/>
        </w:rPr>
        <w:t>（C）</w:t>
      </w:r>
      <w:bookmarkStart w:id="2" w:name="OLE_LINK2"/>
      <w:r>
        <w:rPr>
          <w:rFonts w:hint="eastAsia" w:ascii="楷体_GB2312" w:hAnsi="楷体_GB2312" w:eastAsia="楷体_GB2312" w:cs="楷体_GB2312"/>
          <w:b w:val="0"/>
          <w:bCs w:val="0"/>
          <w:color w:val="auto"/>
          <w:kern w:val="2"/>
          <w:sz w:val="32"/>
          <w:szCs w:val="22"/>
          <w:lang w:val="en-US" w:eastAsia="zh-CN" w:bidi="ar-SA"/>
        </w:rPr>
        <w:t>“黔南州磷化工及新型储能材料产业市域产教联合体”建设专项课题</w:t>
      </w:r>
      <w:bookmarkEnd w:id="2"/>
    </w:p>
    <w:p w14:paraId="4A624AD2">
      <w:pPr>
        <w:pStyle w:val="13"/>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rPr>
          <w:rFonts w:hint="eastAsia" w:ascii="仿宋_GB2312" w:hAnsi="仿宋_GB2312" w:eastAsia="仿宋_GB2312" w:cs="仿宋_GB2312"/>
          <w:b w:val="0"/>
          <w:bCs w:val="0"/>
          <w:color w:val="auto"/>
          <w:sz w:val="32"/>
          <w:lang w:val="en-US" w:eastAsia="zh-CN"/>
        </w:rPr>
      </w:pPr>
      <w:r>
        <w:rPr>
          <w:rFonts w:hint="eastAsia" w:ascii="仿宋_GB2312" w:hAnsi="仿宋_GB2312" w:eastAsia="仿宋_GB2312" w:cs="仿宋_GB2312"/>
          <w:b w:val="0"/>
          <w:bCs w:val="0"/>
          <w:color w:val="auto"/>
          <w:sz w:val="32"/>
          <w:lang w:val="en-US" w:eastAsia="zh-CN"/>
        </w:rPr>
        <w:t>该专项课题主要是立足黔南州磷化工及新型储能材料产业转型升级与区域经济社会发展的重大战略需求，直面产业创新、人才提质升级、绿色低碳发展、协同机制优化、区域示范引领等关键领域的研究与实践任务而设立，旨在通过系统探索，为教育强国建设和产业高质量发展提供强有力的产教融合“双轮驱动”。</w:t>
      </w:r>
    </w:p>
    <w:p w14:paraId="55A4F426">
      <w:pPr>
        <w:pStyle w:val="13"/>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rPr>
          <w:rFonts w:hint="eastAsia" w:ascii="仿宋_GB2312" w:hAnsi="仿宋_GB2312" w:eastAsia="仿宋_GB2312" w:cs="仿宋_GB2312"/>
          <w:b w:val="0"/>
          <w:bCs w:val="0"/>
          <w:color w:val="auto"/>
          <w:sz w:val="32"/>
          <w:lang w:val="en-US" w:eastAsia="zh-CN"/>
        </w:rPr>
      </w:pPr>
      <w:r>
        <w:rPr>
          <w:rFonts w:hint="eastAsia" w:ascii="仿宋_GB2312" w:hAnsi="仿宋_GB2312" w:eastAsia="仿宋_GB2312" w:cs="仿宋_GB2312"/>
          <w:b w:val="0"/>
          <w:bCs w:val="0"/>
          <w:color w:val="auto"/>
          <w:sz w:val="32"/>
          <w:lang w:val="en-US" w:eastAsia="zh-CN"/>
        </w:rPr>
        <w:t>研究内容：</w:t>
      </w:r>
      <w:r>
        <w:rPr>
          <w:rFonts w:hint="eastAsia" w:ascii="仿宋_GB2312" w:hAnsi="仿宋_GB2312" w:eastAsia="仿宋_GB2312" w:cs="仿宋_GB2312"/>
          <w:b/>
          <w:bCs/>
          <w:color w:val="auto"/>
          <w:sz w:val="32"/>
          <w:lang w:val="en-US" w:eastAsia="zh-CN"/>
        </w:rPr>
        <w:t>一是产业创新方向，</w:t>
      </w:r>
      <w:r>
        <w:rPr>
          <w:rFonts w:hint="eastAsia" w:ascii="仿宋_GB2312" w:hAnsi="仿宋_GB2312" w:eastAsia="仿宋_GB2312" w:cs="仿宋_GB2312"/>
          <w:b w:val="0"/>
          <w:bCs w:val="0"/>
          <w:color w:val="auto"/>
          <w:sz w:val="32"/>
          <w:lang w:val="en-US" w:eastAsia="zh-CN"/>
        </w:rPr>
        <w:t>磷化工绿色生产、新型储能材料研发及智能化转型；</w:t>
      </w:r>
      <w:r>
        <w:rPr>
          <w:rFonts w:hint="eastAsia" w:ascii="仿宋_GB2312" w:hAnsi="仿宋_GB2312" w:eastAsia="仿宋_GB2312" w:cs="仿宋_GB2312"/>
          <w:b/>
          <w:bCs/>
          <w:color w:val="auto"/>
          <w:sz w:val="32"/>
          <w:lang w:val="en-US" w:eastAsia="zh-CN"/>
        </w:rPr>
        <w:t>二是人才培养方向，</w:t>
      </w:r>
      <w:r>
        <w:rPr>
          <w:rFonts w:hint="eastAsia" w:ascii="仿宋_GB2312" w:hAnsi="仿宋_GB2312" w:eastAsia="仿宋_GB2312" w:cs="仿宋_GB2312"/>
          <w:b w:val="0"/>
          <w:bCs w:val="0"/>
          <w:color w:val="auto"/>
          <w:sz w:val="32"/>
          <w:lang w:val="en-US" w:eastAsia="zh-CN"/>
        </w:rPr>
        <w:t>深化以人才提质升级为核心的“一核五金”体系，推动中高本贯通培养与多证融通；</w:t>
      </w:r>
      <w:r>
        <w:rPr>
          <w:rFonts w:hint="eastAsia" w:ascii="仿宋_GB2312" w:hAnsi="仿宋_GB2312" w:eastAsia="仿宋_GB2312" w:cs="仿宋_GB2312"/>
          <w:b/>
          <w:bCs/>
          <w:color w:val="auto"/>
          <w:sz w:val="32"/>
          <w:lang w:val="en-US" w:eastAsia="zh-CN"/>
        </w:rPr>
        <w:t>三是绿色低碳方向，</w:t>
      </w:r>
      <w:r>
        <w:rPr>
          <w:rFonts w:hint="eastAsia" w:ascii="仿宋_GB2312" w:hAnsi="仿宋_GB2312" w:eastAsia="仿宋_GB2312" w:cs="仿宋_GB2312"/>
          <w:b w:val="0"/>
          <w:bCs w:val="0"/>
          <w:color w:val="auto"/>
          <w:sz w:val="32"/>
          <w:lang w:val="en-US" w:eastAsia="zh-CN"/>
        </w:rPr>
        <w:t>磷矿高效利用、废水处理及HSE管理技术等；</w:t>
      </w:r>
      <w:r>
        <w:rPr>
          <w:rFonts w:hint="eastAsia" w:ascii="仿宋_GB2312" w:hAnsi="仿宋_GB2312" w:eastAsia="仿宋_GB2312" w:cs="仿宋_GB2312"/>
          <w:b/>
          <w:bCs/>
          <w:color w:val="auto"/>
          <w:sz w:val="32"/>
          <w:lang w:val="en-US" w:eastAsia="zh-CN"/>
        </w:rPr>
        <w:t>四是机制优化方向，</w:t>
      </w:r>
      <w:r>
        <w:rPr>
          <w:rFonts w:hint="eastAsia" w:ascii="仿宋_GB2312" w:hAnsi="仿宋_GB2312" w:eastAsia="仿宋_GB2312" w:cs="仿宋_GB2312"/>
          <w:b w:val="0"/>
          <w:bCs w:val="0"/>
          <w:color w:val="auto"/>
          <w:sz w:val="32"/>
          <w:lang w:val="en-US" w:eastAsia="zh-CN"/>
        </w:rPr>
        <w:t>探索政园校企协同治理与动态匹配模式（3清单：用工信息、就业信息、劳动力底数）；</w:t>
      </w:r>
      <w:r>
        <w:rPr>
          <w:rFonts w:hint="eastAsia" w:ascii="仿宋_GB2312" w:hAnsi="仿宋_GB2312" w:eastAsia="仿宋_GB2312" w:cs="仿宋_GB2312"/>
          <w:b/>
          <w:bCs/>
          <w:color w:val="auto"/>
          <w:sz w:val="32"/>
          <w:lang w:val="en-US" w:eastAsia="zh-CN"/>
        </w:rPr>
        <w:t>五是区域协同方向，</w:t>
      </w:r>
      <w:r>
        <w:rPr>
          <w:rFonts w:hint="eastAsia" w:ascii="仿宋_GB2312" w:hAnsi="仿宋_GB2312" w:eastAsia="仿宋_GB2312" w:cs="仿宋_GB2312"/>
          <w:b w:val="0"/>
          <w:bCs w:val="0"/>
          <w:color w:val="auto"/>
          <w:sz w:val="32"/>
          <w:lang w:val="en-US" w:eastAsia="zh-CN"/>
        </w:rPr>
        <w:t>总结“黔南模式”，服务千亿级园区，打造产教融合“贵州样本”，助力教育强国与产业升级。</w:t>
      </w:r>
    </w:p>
    <w:p w14:paraId="01F964E9">
      <w:pPr>
        <w:pStyle w:val="13"/>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rPr>
          <w:rFonts w:hint="eastAsia" w:ascii="楷体_GB2312" w:hAnsi="楷体_GB2312" w:eastAsia="楷体_GB2312" w:cs="楷体_GB2312"/>
          <w:b w:val="0"/>
          <w:bCs w:val="0"/>
          <w:color w:val="auto"/>
          <w:sz w:val="32"/>
          <w:lang w:val="en-US" w:eastAsia="zh-CN"/>
        </w:rPr>
      </w:pPr>
      <w:r>
        <w:rPr>
          <w:rFonts w:hint="eastAsia" w:ascii="楷体_GB2312" w:hAnsi="楷体_GB2312" w:eastAsia="楷体_GB2312" w:cs="楷体_GB2312"/>
          <w:b w:val="0"/>
          <w:bCs w:val="0"/>
          <w:color w:val="auto"/>
          <w:sz w:val="32"/>
          <w:lang w:eastAsia="zh-CN"/>
        </w:rPr>
        <w:t>（</w:t>
      </w:r>
      <w:r>
        <w:rPr>
          <w:rFonts w:hint="eastAsia" w:ascii="楷体_GB2312" w:hAnsi="楷体_GB2312" w:eastAsia="楷体_GB2312" w:cs="楷体_GB2312"/>
          <w:b w:val="0"/>
          <w:bCs w:val="0"/>
          <w:color w:val="auto"/>
          <w:sz w:val="32"/>
          <w:lang w:val="en-US" w:eastAsia="zh-CN"/>
        </w:rPr>
        <w:t>D</w:t>
      </w:r>
      <w:r>
        <w:rPr>
          <w:rFonts w:hint="eastAsia" w:ascii="楷体_GB2312" w:hAnsi="楷体_GB2312" w:eastAsia="楷体_GB2312" w:cs="楷体_GB2312"/>
          <w:b w:val="0"/>
          <w:bCs w:val="0"/>
          <w:color w:val="auto"/>
          <w:sz w:val="32"/>
          <w:lang w:eastAsia="zh-CN"/>
        </w:rPr>
        <w:t>）</w:t>
      </w:r>
      <w:r>
        <w:rPr>
          <w:rFonts w:hint="eastAsia" w:ascii="楷体_GB2312" w:hAnsi="楷体_GB2312" w:eastAsia="楷体_GB2312" w:cs="楷体_GB2312"/>
          <w:b w:val="0"/>
          <w:bCs w:val="0"/>
          <w:color w:val="auto"/>
          <w:sz w:val="32"/>
          <w:lang w:val="en-US" w:eastAsia="zh-CN"/>
        </w:rPr>
        <w:t>院级科研课题</w:t>
      </w:r>
    </w:p>
    <w:p w14:paraId="3846D6B7">
      <w:pPr>
        <w:pStyle w:val="13"/>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rPr>
          <w:rFonts w:hint="eastAsia" w:ascii="Times New Roman" w:hAnsi="Times New Roman" w:eastAsia="仿宋_GB2312" w:cs="Times New Roman"/>
          <w:color w:val="auto"/>
          <w:sz w:val="32"/>
          <w:lang w:val="en-US" w:eastAsia="zh-CN"/>
        </w:rPr>
      </w:pPr>
      <w:r>
        <w:rPr>
          <w:rFonts w:hint="eastAsia" w:ascii="Times New Roman" w:hAnsi="Times New Roman" w:eastAsia="仿宋_GB2312" w:cs="Times New Roman"/>
          <w:color w:val="auto"/>
          <w:sz w:val="32"/>
          <w:lang w:val="en-US" w:eastAsia="zh-CN"/>
        </w:rPr>
        <w:t>本年度</w:t>
      </w:r>
      <w:r>
        <w:rPr>
          <w:rFonts w:hint="default" w:ascii="Times New Roman" w:hAnsi="Times New Roman" w:eastAsia="仿宋_GB2312" w:cs="Times New Roman"/>
          <w:color w:val="auto"/>
          <w:sz w:val="32"/>
        </w:rPr>
        <w:t>黔南职院院级科研</w:t>
      </w:r>
      <w:r>
        <w:rPr>
          <w:rFonts w:hint="eastAsia" w:ascii="Times New Roman" w:hAnsi="Times New Roman" w:eastAsia="仿宋_GB2312" w:cs="Times New Roman"/>
          <w:color w:val="auto"/>
          <w:sz w:val="32"/>
          <w:lang w:val="en-US" w:eastAsia="zh-CN"/>
        </w:rPr>
        <w:t>课题</w:t>
      </w:r>
      <w:r>
        <w:rPr>
          <w:rFonts w:hint="default" w:ascii="Times New Roman" w:hAnsi="Times New Roman" w:eastAsia="仿宋_GB2312" w:cs="Times New Roman"/>
          <w:color w:val="auto"/>
          <w:sz w:val="32"/>
        </w:rPr>
        <w:t>由项目负责人自行设计</w:t>
      </w:r>
      <w:r>
        <w:rPr>
          <w:rFonts w:hint="eastAsia" w:ascii="Times New Roman" w:hAnsi="Times New Roman" w:eastAsia="仿宋_GB2312" w:cs="Times New Roman"/>
          <w:color w:val="auto"/>
          <w:sz w:val="32"/>
          <w:lang w:eastAsia="zh-CN"/>
        </w:rPr>
        <w:t>，</w:t>
      </w:r>
      <w:r>
        <w:rPr>
          <w:rFonts w:hint="eastAsia" w:ascii="Times New Roman" w:hAnsi="Times New Roman" w:eastAsia="仿宋_GB2312" w:cs="Times New Roman"/>
          <w:color w:val="auto"/>
          <w:sz w:val="32"/>
          <w:lang w:val="en-US" w:eastAsia="zh-CN"/>
        </w:rPr>
        <w:t>项目</w:t>
      </w:r>
      <w:r>
        <w:rPr>
          <w:rFonts w:hint="eastAsia" w:ascii="Times New Roman" w:hAnsi="Times New Roman" w:eastAsia="仿宋_GB2312" w:cs="Times New Roman"/>
          <w:color w:val="auto"/>
          <w:sz w:val="32"/>
          <w:lang w:eastAsia="zh-CN"/>
        </w:rPr>
        <w:t>研究目的要明确，具有</w:t>
      </w:r>
      <w:r>
        <w:rPr>
          <w:rFonts w:hint="eastAsia" w:ascii="Times New Roman" w:hAnsi="Times New Roman" w:eastAsia="仿宋_GB2312" w:cs="Times New Roman"/>
          <w:color w:val="auto"/>
          <w:sz w:val="32"/>
          <w:lang w:val="en-US" w:eastAsia="zh-CN"/>
        </w:rPr>
        <w:t>专业前瞻性、技术先进性、技改</w:t>
      </w:r>
      <w:r>
        <w:rPr>
          <w:rFonts w:hint="eastAsia" w:ascii="Times New Roman" w:hAnsi="Times New Roman" w:eastAsia="仿宋_GB2312" w:cs="Times New Roman"/>
          <w:color w:val="auto"/>
          <w:sz w:val="32"/>
          <w:lang w:eastAsia="zh-CN"/>
        </w:rPr>
        <w:t>实用性；旨在解决实践中认识上或应用上的问题，</w:t>
      </w:r>
      <w:r>
        <w:rPr>
          <w:rFonts w:hint="eastAsia" w:ascii="Times New Roman" w:hAnsi="Times New Roman" w:eastAsia="仿宋_GB2312" w:cs="Times New Roman"/>
          <w:color w:val="auto"/>
          <w:sz w:val="32"/>
          <w:lang w:val="en-US" w:eastAsia="zh-CN"/>
        </w:rPr>
        <w:t>重点支持具有推广应用性的课题。</w:t>
      </w:r>
    </w:p>
    <w:p w14:paraId="1F4E499D">
      <w:pPr>
        <w:pStyle w:val="13"/>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rPr>
          <w:rFonts w:hint="eastAsia" w:ascii="Times New Roman" w:hAnsi="Times New Roman" w:eastAsia="仿宋_GB2312" w:cs="Times New Roman"/>
          <w:color w:val="auto"/>
          <w:sz w:val="32"/>
          <w:lang w:val="en-US" w:eastAsia="zh-CN"/>
        </w:rPr>
      </w:pPr>
      <w:r>
        <w:rPr>
          <w:rFonts w:hint="eastAsia" w:ascii="Times New Roman" w:hAnsi="Times New Roman" w:eastAsia="仿宋_GB2312" w:cs="Times New Roman"/>
          <w:color w:val="auto"/>
          <w:sz w:val="32"/>
          <w:lang w:val="en-US" w:eastAsia="zh-CN"/>
        </w:rPr>
        <w:t>以上各类别课题结题要求：</w:t>
      </w:r>
    </w:p>
    <w:p w14:paraId="4CE5B09A">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Times New Roman" w:hAnsi="Times New Roman" w:eastAsia="仿宋_GB2312" w:cs="Times New Roman"/>
          <w:color w:val="auto"/>
          <w:sz w:val="32"/>
          <w:lang w:val="en-US" w:eastAsia="zh-CN"/>
        </w:rPr>
      </w:pPr>
      <w:r>
        <w:rPr>
          <w:rFonts w:hint="eastAsia" w:ascii="Times New Roman" w:hAnsi="Times New Roman" w:eastAsia="仿宋_GB2312" w:cs="Times New Roman"/>
          <w:color w:val="auto"/>
          <w:sz w:val="32"/>
          <w:lang w:val="en-US" w:eastAsia="zh-CN"/>
        </w:rPr>
        <w:t>（1）教学改革课题验收时均需要有实际成效或成果证明材料，例如以课程改革为研究</w:t>
      </w:r>
      <w:r>
        <w:rPr>
          <w:rFonts w:hint="eastAsia" w:ascii="Calibri" w:hAnsi="Calibri" w:eastAsia="仿宋_GB2312" w:cs="Calibri"/>
          <w:color w:val="auto"/>
          <w:sz w:val="32"/>
          <w:lang w:val="en-US" w:eastAsia="zh-CN"/>
        </w:rPr>
        <w:t>方向的课题要有改革成果材料（若获奖，也可以提供课程获奖材料、推广应用材料等）。</w:t>
      </w:r>
    </w:p>
    <w:p w14:paraId="79D1D0A3">
      <w:pPr>
        <w:pStyle w:val="13"/>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rPr>
          <w:rFonts w:hint="default" w:ascii="Times New Roman" w:hAnsi="Times New Roman" w:eastAsia="仿宋_GB2312" w:cs="Times New Roman"/>
          <w:color w:val="auto"/>
          <w:sz w:val="32"/>
          <w:lang w:val="en-US" w:eastAsia="zh-CN"/>
        </w:rPr>
      </w:pPr>
      <w:r>
        <w:rPr>
          <w:rFonts w:hint="eastAsia" w:ascii="Times New Roman" w:hAnsi="Times New Roman" w:eastAsia="仿宋_GB2312" w:cs="Times New Roman"/>
          <w:color w:val="auto"/>
          <w:sz w:val="32"/>
          <w:lang w:val="en-US" w:eastAsia="zh-CN"/>
        </w:rPr>
        <w:t>（2）</w:t>
      </w:r>
      <w:r>
        <w:rPr>
          <w:rFonts w:hint="default" w:ascii="Times New Roman" w:hAnsi="Times New Roman" w:eastAsia="仿宋_GB2312" w:cs="Times New Roman"/>
          <w:color w:val="auto"/>
          <w:sz w:val="32"/>
          <w:lang w:val="en-US" w:eastAsia="zh-CN"/>
        </w:rPr>
        <w:t>以专著结项的</w:t>
      </w:r>
      <w:r>
        <w:rPr>
          <w:rFonts w:hint="eastAsia" w:ascii="Times New Roman" w:hAnsi="Times New Roman" w:eastAsia="仿宋_GB2312" w:cs="Times New Roman"/>
          <w:color w:val="auto"/>
          <w:sz w:val="32"/>
          <w:lang w:val="en-US" w:eastAsia="zh-CN"/>
        </w:rPr>
        <w:t>课题</w:t>
      </w:r>
      <w:r>
        <w:rPr>
          <w:rFonts w:hint="default" w:ascii="Times New Roman" w:hAnsi="Times New Roman" w:eastAsia="仿宋_GB2312" w:cs="Times New Roman"/>
          <w:color w:val="auto"/>
          <w:sz w:val="32"/>
          <w:lang w:val="en-US" w:eastAsia="zh-CN"/>
        </w:rPr>
        <w:t>，专著要公开出版发行；以研究报告结项的</w:t>
      </w:r>
      <w:r>
        <w:rPr>
          <w:rFonts w:hint="eastAsia" w:ascii="Times New Roman" w:hAnsi="Times New Roman" w:eastAsia="仿宋_GB2312" w:cs="Times New Roman"/>
          <w:color w:val="auto"/>
          <w:sz w:val="32"/>
          <w:lang w:val="en-US" w:eastAsia="zh-CN"/>
        </w:rPr>
        <w:t>课题</w:t>
      </w:r>
      <w:r>
        <w:rPr>
          <w:rFonts w:hint="default" w:ascii="Times New Roman" w:hAnsi="Times New Roman" w:eastAsia="仿宋_GB2312" w:cs="Times New Roman"/>
          <w:color w:val="auto"/>
          <w:sz w:val="32"/>
          <w:lang w:val="en-US" w:eastAsia="zh-CN"/>
        </w:rPr>
        <w:t>，重复率不超过</w:t>
      </w:r>
      <w:r>
        <w:rPr>
          <w:rFonts w:hint="eastAsia" w:ascii="Times New Roman" w:hAnsi="Times New Roman" w:eastAsia="仿宋_GB2312" w:cs="Times New Roman"/>
          <w:color w:val="auto"/>
          <w:sz w:val="32"/>
          <w:lang w:val="en-US" w:eastAsia="zh-CN"/>
        </w:rPr>
        <w:t>15</w:t>
      </w:r>
      <w:r>
        <w:rPr>
          <w:rFonts w:hint="default" w:ascii="Times New Roman" w:hAnsi="Times New Roman" w:eastAsia="仿宋_GB2312" w:cs="Times New Roman"/>
          <w:color w:val="auto"/>
          <w:sz w:val="32"/>
          <w:lang w:val="en-US" w:eastAsia="zh-CN"/>
        </w:rPr>
        <w:t>%，需提供</w:t>
      </w:r>
      <w:r>
        <w:rPr>
          <w:rFonts w:hint="eastAsia" w:ascii="Times New Roman" w:hAnsi="Times New Roman" w:eastAsia="仿宋_GB2312" w:cs="Times New Roman"/>
          <w:color w:val="auto"/>
          <w:sz w:val="32"/>
          <w:lang w:val="en-US" w:eastAsia="zh-CN"/>
        </w:rPr>
        <w:t>知网或者万方</w:t>
      </w:r>
      <w:r>
        <w:rPr>
          <w:rFonts w:hint="default" w:ascii="Times New Roman" w:hAnsi="Times New Roman" w:eastAsia="仿宋_GB2312" w:cs="Times New Roman"/>
          <w:color w:val="auto"/>
          <w:sz w:val="32"/>
          <w:lang w:val="en-US" w:eastAsia="zh-CN"/>
        </w:rPr>
        <w:t>查重报告；以论文结项的</w:t>
      </w:r>
      <w:r>
        <w:rPr>
          <w:rFonts w:hint="eastAsia" w:ascii="Times New Roman" w:hAnsi="Times New Roman" w:eastAsia="仿宋_GB2312" w:cs="Times New Roman"/>
          <w:color w:val="auto"/>
          <w:sz w:val="32"/>
          <w:lang w:val="en-US" w:eastAsia="zh-CN"/>
        </w:rPr>
        <w:t>课题</w:t>
      </w:r>
      <w:r>
        <w:rPr>
          <w:rFonts w:hint="default" w:ascii="Times New Roman" w:hAnsi="Times New Roman" w:eastAsia="仿宋_GB2312" w:cs="Times New Roman"/>
          <w:color w:val="auto"/>
          <w:sz w:val="32"/>
          <w:lang w:val="en-US" w:eastAsia="zh-CN"/>
        </w:rPr>
        <w:t>，论文均指公开发表的学术论文，</w:t>
      </w:r>
      <w:r>
        <w:rPr>
          <w:rFonts w:hint="eastAsia" w:ascii="Times New Roman" w:hAnsi="Times New Roman" w:eastAsia="仿宋_GB2312" w:cs="Times New Roman"/>
          <w:color w:val="auto"/>
          <w:sz w:val="32"/>
          <w:lang w:val="en-US" w:eastAsia="zh-CN"/>
        </w:rPr>
        <w:t>并标注</w:t>
      </w:r>
      <w:bookmarkStart w:id="3" w:name="OLE_LINK1"/>
      <w:r>
        <w:rPr>
          <w:rFonts w:hint="eastAsia" w:ascii="Times New Roman" w:hAnsi="Times New Roman" w:eastAsia="仿宋_GB2312" w:cs="Times New Roman"/>
          <w:color w:val="auto"/>
          <w:sz w:val="32"/>
          <w:lang w:val="en-US" w:eastAsia="zh-CN"/>
        </w:rPr>
        <w:t>“</w:t>
      </w:r>
      <w:r>
        <w:rPr>
          <w:rFonts w:hint="default" w:ascii="Times New Roman" w:hAnsi="Times New Roman" w:eastAsia="仿宋_GB2312" w:cs="Times New Roman"/>
          <w:color w:val="auto"/>
          <w:sz w:val="32"/>
          <w:lang w:val="en-US" w:eastAsia="zh-CN"/>
        </w:rPr>
        <w:t>黔南民族职业技术学院院级科研项目</w:t>
      </w:r>
      <w:r>
        <w:rPr>
          <w:rFonts w:hint="eastAsia" w:ascii="Times New Roman" w:hAnsi="Times New Roman" w:eastAsia="仿宋_GB2312" w:cs="Times New Roman"/>
          <w:color w:val="auto"/>
          <w:sz w:val="32"/>
          <w:lang w:val="en-US" w:eastAsia="zh-CN"/>
        </w:rPr>
        <w:t>”</w:t>
      </w:r>
      <w:bookmarkEnd w:id="3"/>
      <w:r>
        <w:rPr>
          <w:rFonts w:hint="eastAsia" w:ascii="Times New Roman" w:hAnsi="Times New Roman" w:eastAsia="仿宋_GB2312" w:cs="Times New Roman"/>
          <w:color w:val="auto"/>
          <w:sz w:val="32"/>
          <w:lang w:val="en-US" w:eastAsia="zh-CN"/>
        </w:rPr>
        <w:t>及项目编号，</w:t>
      </w:r>
      <w:r>
        <w:rPr>
          <w:rFonts w:hint="default" w:ascii="Times New Roman" w:hAnsi="Times New Roman" w:eastAsia="仿宋_GB2312" w:cs="Times New Roman"/>
          <w:color w:val="auto"/>
          <w:sz w:val="32"/>
          <w:lang w:val="en-US" w:eastAsia="zh-CN"/>
        </w:rPr>
        <w:t>期刊</w:t>
      </w:r>
      <w:r>
        <w:rPr>
          <w:rFonts w:hint="eastAsia" w:ascii="Times New Roman" w:hAnsi="Times New Roman" w:eastAsia="仿宋_GB2312" w:cs="Times New Roman"/>
          <w:color w:val="auto"/>
          <w:sz w:val="32"/>
          <w:lang w:val="en-US" w:eastAsia="zh-CN"/>
        </w:rPr>
        <w:t>必须要在知网、万方和维普三大网其中之一</w:t>
      </w:r>
      <w:r>
        <w:rPr>
          <w:rFonts w:hint="default" w:ascii="Times New Roman" w:hAnsi="Times New Roman" w:eastAsia="仿宋_GB2312" w:cs="Times New Roman"/>
          <w:color w:val="auto"/>
          <w:sz w:val="32"/>
          <w:lang w:val="en-US" w:eastAsia="zh-CN"/>
        </w:rPr>
        <w:t>可查询</w:t>
      </w:r>
      <w:r>
        <w:rPr>
          <w:rFonts w:hint="eastAsia" w:ascii="Times New Roman" w:hAnsi="Times New Roman" w:eastAsia="仿宋_GB2312" w:cs="Times New Roman"/>
          <w:color w:val="auto"/>
          <w:sz w:val="32"/>
          <w:lang w:val="en-US" w:eastAsia="zh-CN"/>
        </w:rPr>
        <w:t>，</w:t>
      </w:r>
      <w:r>
        <w:rPr>
          <w:rFonts w:hint="default" w:ascii="Times New Roman" w:hAnsi="Times New Roman" w:eastAsia="仿宋_GB2312" w:cs="Times New Roman"/>
          <w:color w:val="auto"/>
          <w:sz w:val="32"/>
          <w:lang w:val="en-US" w:eastAsia="zh-CN"/>
        </w:rPr>
        <w:t>否则不予结项</w:t>
      </w:r>
      <w:r>
        <w:rPr>
          <w:rFonts w:hint="eastAsia" w:ascii="Times New Roman" w:hAnsi="Times New Roman" w:eastAsia="仿宋_GB2312" w:cs="Times New Roman"/>
          <w:color w:val="auto"/>
          <w:sz w:val="32"/>
          <w:lang w:val="en-US" w:eastAsia="zh-CN"/>
        </w:rPr>
        <w:t>。</w:t>
      </w:r>
    </w:p>
    <w:p w14:paraId="2949B859">
      <w:pPr>
        <w:pStyle w:val="13"/>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rPr>
          <w:rFonts w:hint="default" w:ascii="Times New Roman" w:hAnsi="Times New Roman" w:eastAsia="仿宋_GB2312" w:cs="Times New Roman"/>
          <w:color w:val="auto"/>
          <w:sz w:val="32"/>
          <w:lang w:val="en-US" w:eastAsia="zh-CN"/>
        </w:rPr>
      </w:pPr>
      <w:r>
        <w:rPr>
          <w:rFonts w:hint="eastAsia" w:ascii="Times New Roman" w:hAnsi="Times New Roman" w:eastAsia="仿宋_GB2312" w:cs="Times New Roman"/>
          <w:color w:val="auto"/>
          <w:sz w:val="32"/>
          <w:lang w:val="en-US" w:eastAsia="zh-CN"/>
        </w:rPr>
        <w:t>（3）</w:t>
      </w:r>
      <w:r>
        <w:rPr>
          <w:rFonts w:hint="default" w:ascii="Times New Roman" w:hAnsi="Times New Roman" w:eastAsia="仿宋_GB2312" w:cs="Times New Roman"/>
          <w:color w:val="auto"/>
          <w:sz w:val="32"/>
          <w:lang w:val="en-US" w:eastAsia="zh-CN"/>
        </w:rPr>
        <w:t>课题研究方向正确，内容充实，论证充分，拟突破的重点难点明确，研究思路清晰，研究方法科学、可行。</w:t>
      </w:r>
    </w:p>
    <w:p w14:paraId="2B86DF34">
      <w:pPr>
        <w:pStyle w:val="13"/>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rPr>
          <w:rFonts w:hint="default" w:ascii="Times New Roman" w:hAnsi="Times New Roman" w:eastAsia="仿宋_GB2312" w:cs="Times New Roman"/>
          <w:color w:val="auto"/>
          <w:sz w:val="32"/>
          <w:lang w:val="en-US" w:eastAsia="zh-CN"/>
        </w:rPr>
      </w:pPr>
    </w:p>
    <w:p w14:paraId="0CEEC8C5">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黑体" w:hAnsi="黑体" w:eastAsia="黑体" w:cs="黑体"/>
          <w:b w:val="0"/>
          <w:bCs/>
          <w:color w:val="auto"/>
          <w:sz w:val="32"/>
        </w:rPr>
      </w:pPr>
      <w:r>
        <w:rPr>
          <w:rFonts w:hint="eastAsia" w:ascii="黑体" w:hAnsi="黑体" w:eastAsia="黑体" w:cs="黑体"/>
          <w:b w:val="0"/>
          <w:bCs/>
          <w:color w:val="auto"/>
          <w:sz w:val="32"/>
        </w:rPr>
        <w:t>二、申报资格</w:t>
      </w:r>
    </w:p>
    <w:p w14:paraId="0E88DFFA">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default" w:ascii="Times New Roman" w:hAnsi="Times New Roman" w:eastAsia="仿宋_GB2312" w:cs="Times New Roman"/>
          <w:color w:val="auto"/>
          <w:sz w:val="32"/>
          <w:lang w:val="en-US" w:eastAsia="zh-CN"/>
        </w:rPr>
      </w:pPr>
      <w:r>
        <w:rPr>
          <w:rFonts w:hint="default" w:ascii="Times New Roman" w:hAnsi="Times New Roman" w:eastAsia="仿宋_GB2312" w:cs="Times New Roman"/>
          <w:color w:val="auto"/>
          <w:sz w:val="32"/>
        </w:rPr>
        <w:t>（一）各类项目的申请者原则上必须是我院在职在岗教学、科研、管理人员。</w:t>
      </w:r>
      <w:r>
        <w:rPr>
          <w:rFonts w:hint="default" w:ascii="Times New Roman" w:hAnsi="Times New Roman" w:eastAsia="仿宋_GB2312" w:cs="Times New Roman"/>
          <w:color w:val="auto"/>
          <w:sz w:val="32"/>
          <w:lang w:val="en-US" w:eastAsia="zh-CN"/>
        </w:rPr>
        <w:t>项目申请者需具有中级专业技术职务或具有硕士研究生学位；凡不具备上述职称或学历条件者，须由两名具有副高级专业技术职务的同行专家推荐。</w:t>
      </w:r>
    </w:p>
    <w:p w14:paraId="1927B63C">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rPr>
        <w:t>（二）各类项目申请者即为项目负责人，需具有良好思想素质和严谨的科学态度，具有独立开展和组织科研工作的能力、水平和时间作为项目的实际主持者承担实质性研究工作。</w:t>
      </w:r>
    </w:p>
    <w:p w14:paraId="5733B9B4">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（三）项目负责人只能申报一个项目，且不能作为项目组成员参与本学年度其它院级项目的申请。20</w:t>
      </w:r>
      <w:r>
        <w:rPr>
          <w:rFonts w:hint="default" w:ascii="Times New Roman" w:hAnsi="Times New Roman" w:eastAsia="仿宋_GB2312" w:cs="Times New Roman"/>
          <w:color w:val="auto"/>
          <w:sz w:val="32"/>
          <w:lang w:val="en-US" w:eastAsia="zh-CN"/>
        </w:rPr>
        <w:t>2</w:t>
      </w:r>
      <w:r>
        <w:rPr>
          <w:rFonts w:hint="eastAsia" w:ascii="Times New Roman" w:hAnsi="Times New Roman" w:eastAsia="仿宋_GB2312" w:cs="Times New Roman"/>
          <w:color w:val="auto"/>
          <w:sz w:val="32"/>
          <w:lang w:val="en-US" w:eastAsia="zh-CN"/>
        </w:rPr>
        <w:t>4</w:t>
      </w:r>
      <w:r>
        <w:rPr>
          <w:rFonts w:hint="default" w:ascii="Times New Roman" w:hAnsi="Times New Roman" w:eastAsia="仿宋_GB2312" w:cs="Times New Roman"/>
          <w:color w:val="auto"/>
          <w:sz w:val="32"/>
        </w:rPr>
        <w:t>年及以前院级项目未结题验收</w:t>
      </w:r>
      <w:r>
        <w:rPr>
          <w:rFonts w:hint="eastAsia" w:ascii="Times New Roman" w:hAnsi="Times New Roman" w:eastAsia="仿宋_GB2312" w:cs="Times New Roman"/>
          <w:color w:val="auto"/>
          <w:sz w:val="32"/>
          <w:lang w:eastAsia="zh-CN"/>
        </w:rPr>
        <w:t>或放弃的人员</w:t>
      </w:r>
      <w:r>
        <w:rPr>
          <w:rFonts w:hint="default" w:ascii="Times New Roman" w:hAnsi="Times New Roman" w:eastAsia="仿宋_GB2312" w:cs="Times New Roman"/>
          <w:color w:val="auto"/>
          <w:sz w:val="32"/>
        </w:rPr>
        <w:t>，不能作为项目负责人申报项目。</w:t>
      </w:r>
    </w:p>
    <w:p w14:paraId="0FDC427F">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（四）项目研究时间一般在一年左右，最长不超过两年</w:t>
      </w:r>
      <w:r>
        <w:rPr>
          <w:rFonts w:hint="eastAsia" w:ascii="Times New Roman" w:hAnsi="Times New Roman" w:eastAsia="仿宋_GB2312" w:cs="Times New Roman"/>
          <w:color w:val="auto"/>
          <w:sz w:val="32"/>
          <w:lang w:eastAsia="zh-CN"/>
        </w:rPr>
        <w:t>，时间从立项决定文件下达之日起计算</w:t>
      </w:r>
      <w:r>
        <w:rPr>
          <w:rFonts w:hint="default" w:ascii="Times New Roman" w:hAnsi="Times New Roman" w:eastAsia="仿宋_GB2312" w:cs="Times New Roman"/>
          <w:color w:val="auto"/>
          <w:sz w:val="32"/>
        </w:rPr>
        <w:t>。</w:t>
      </w:r>
    </w:p>
    <w:p w14:paraId="5C423FB4">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Times New Roman" w:hAnsi="Times New Roman" w:eastAsia="仿宋_GB2312" w:cs="Times New Roman"/>
          <w:color w:val="auto"/>
          <w:sz w:val="32"/>
          <w:lang w:eastAsia="zh-CN"/>
        </w:rPr>
      </w:pPr>
      <w:r>
        <w:rPr>
          <w:rFonts w:hint="eastAsia" w:ascii="Times New Roman" w:hAnsi="Times New Roman" w:eastAsia="仿宋_GB2312" w:cs="Times New Roman"/>
          <w:color w:val="auto"/>
          <w:sz w:val="32"/>
          <w:lang w:eastAsia="zh-CN"/>
        </w:rPr>
        <w:t>（五）将申报院级科研项目纳入职称评聘的重要内容。主持院级科研项目的专业技术人员，可在同等条件下优先评聘。</w:t>
      </w:r>
    </w:p>
    <w:p w14:paraId="22B4826E">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rPr>
        <w:t>（</w:t>
      </w:r>
      <w:r>
        <w:rPr>
          <w:rFonts w:hint="eastAsia" w:ascii="Times New Roman" w:hAnsi="Times New Roman" w:eastAsia="仿宋_GB2312" w:cs="Times New Roman"/>
          <w:color w:val="auto"/>
          <w:sz w:val="32"/>
          <w:lang w:val="en-US" w:eastAsia="zh-CN"/>
        </w:rPr>
        <w:t>六</w:t>
      </w:r>
      <w:r>
        <w:rPr>
          <w:rFonts w:hint="default" w:ascii="Times New Roman" w:hAnsi="Times New Roman" w:eastAsia="仿宋_GB2312" w:cs="Times New Roman"/>
          <w:color w:val="auto"/>
          <w:sz w:val="32"/>
        </w:rPr>
        <w:t>）科研项目经费采取自由申请与项目评审批复后执行相结合的方式</w:t>
      </w:r>
      <w:r>
        <w:rPr>
          <w:rFonts w:hint="eastAsia" w:ascii="Times New Roman" w:hAnsi="Times New Roman" w:eastAsia="仿宋_GB2312" w:cs="Times New Roman"/>
          <w:color w:val="auto"/>
          <w:sz w:val="32"/>
          <w:lang w:eastAsia="zh-CN"/>
        </w:rPr>
        <w:t>，</w:t>
      </w:r>
      <w:r>
        <w:rPr>
          <w:rFonts w:hint="eastAsia" w:ascii="Times New Roman" w:hAnsi="Times New Roman" w:eastAsia="仿宋_GB2312" w:cs="Times New Roman"/>
          <w:color w:val="auto"/>
          <w:sz w:val="32"/>
          <w:lang w:val="en-US" w:eastAsia="zh-CN"/>
        </w:rPr>
        <w:t>原则上一般课题2000元，重点课题5000元</w:t>
      </w:r>
      <w:r>
        <w:rPr>
          <w:rFonts w:hint="default" w:ascii="Times New Roman" w:hAnsi="Times New Roman" w:eastAsia="仿宋_GB2312" w:cs="Times New Roman"/>
          <w:color w:val="auto"/>
          <w:sz w:val="32"/>
        </w:rPr>
        <w:t>。</w:t>
      </w:r>
    </w:p>
    <w:p w14:paraId="66400B28">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黑体" w:hAnsi="黑体" w:eastAsia="黑体" w:cs="黑体"/>
          <w:b w:val="0"/>
          <w:bCs/>
          <w:color w:val="auto"/>
          <w:sz w:val="32"/>
        </w:rPr>
      </w:pPr>
      <w:r>
        <w:rPr>
          <w:rFonts w:hint="eastAsia" w:ascii="黑体" w:hAnsi="黑体" w:eastAsia="黑体" w:cs="黑体"/>
          <w:b w:val="0"/>
          <w:bCs/>
          <w:color w:val="auto"/>
          <w:sz w:val="32"/>
        </w:rPr>
        <w:t>三、申报办法及时间</w:t>
      </w:r>
    </w:p>
    <w:p w14:paraId="66DFD8CF">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rPr>
        <w:t>（一）各系、各部门统一组织申报</w:t>
      </w:r>
      <w:r>
        <w:rPr>
          <w:rFonts w:hint="eastAsia"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rPr>
        <w:t>并在规定时间内将《黔南民族职业技术学院科研项目申请书》</w:t>
      </w:r>
      <w:r>
        <w:rPr>
          <w:rFonts w:hint="eastAsia" w:ascii="Times New Roman" w:hAnsi="Times New Roman" w:eastAsia="仿宋_GB2312" w:cs="Times New Roman"/>
          <w:color w:val="auto"/>
          <w:sz w:val="32"/>
          <w:lang w:eastAsia="zh-CN"/>
        </w:rPr>
        <w:t>（附件</w:t>
      </w:r>
      <w:r>
        <w:rPr>
          <w:rFonts w:hint="eastAsia" w:ascii="Times New Roman" w:hAnsi="Times New Roman" w:eastAsia="仿宋_GB2312" w:cs="Times New Roman"/>
          <w:color w:val="auto"/>
          <w:sz w:val="32"/>
          <w:lang w:val="en-US" w:eastAsia="zh-CN"/>
        </w:rPr>
        <w:t>2</w:t>
      </w:r>
      <w:r>
        <w:rPr>
          <w:rFonts w:hint="eastAsia"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rPr>
        <w:t>和《各系、各部门院级科研项目汇总统计表》</w:t>
      </w:r>
      <w:r>
        <w:rPr>
          <w:rFonts w:hint="eastAsia" w:ascii="Times New Roman" w:hAnsi="Times New Roman" w:eastAsia="仿宋_GB2312" w:cs="Times New Roman"/>
          <w:color w:val="auto"/>
          <w:sz w:val="32"/>
          <w:lang w:eastAsia="zh-CN"/>
        </w:rPr>
        <w:t>（附件</w:t>
      </w:r>
      <w:r>
        <w:rPr>
          <w:rFonts w:hint="eastAsia" w:ascii="Times New Roman" w:hAnsi="Times New Roman" w:eastAsia="仿宋_GB2312" w:cs="Times New Roman"/>
          <w:color w:val="auto"/>
          <w:sz w:val="32"/>
          <w:lang w:val="en-US" w:eastAsia="zh-CN"/>
        </w:rPr>
        <w:t>3</w:t>
      </w:r>
      <w:r>
        <w:rPr>
          <w:rFonts w:hint="eastAsia"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rPr>
        <w:t>纸质档和电子档按要求报送至科研处</w:t>
      </w:r>
      <w:r>
        <w:rPr>
          <w:rFonts w:hint="eastAsia" w:ascii="Times New Roman" w:hAnsi="Times New Roman" w:eastAsia="仿宋_GB2312" w:cs="Times New Roman"/>
          <w:color w:val="auto"/>
          <w:sz w:val="32"/>
          <w:lang w:eastAsia="zh-CN"/>
        </w:rPr>
        <w:t>。其中</w:t>
      </w:r>
      <w:r>
        <w:rPr>
          <w:rFonts w:hint="default" w:ascii="Times New Roman" w:hAnsi="Times New Roman" w:eastAsia="仿宋_GB2312" w:cs="Times New Roman"/>
          <w:color w:val="auto"/>
          <w:sz w:val="32"/>
        </w:rPr>
        <w:t>纸质文档一式三份</w:t>
      </w:r>
      <w:r>
        <w:rPr>
          <w:rFonts w:hint="eastAsia"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rPr>
        <w:t>A4纸双面打印</w:t>
      </w:r>
      <w:r>
        <w:rPr>
          <w:rFonts w:hint="default" w:ascii="Times New Roman" w:hAnsi="Times New Roman" w:eastAsia="仿宋_GB2312" w:cs="Times New Roman"/>
          <w:color w:val="auto"/>
          <w:sz w:val="32"/>
          <w:lang w:eastAsia="zh-CN"/>
        </w:rPr>
        <w:t>，</w:t>
      </w:r>
      <w:r>
        <w:rPr>
          <w:rFonts w:hint="eastAsia" w:ascii="Times New Roman" w:hAnsi="Times New Roman" w:eastAsia="仿宋_GB2312" w:cs="Times New Roman"/>
          <w:color w:val="auto"/>
          <w:sz w:val="32"/>
          <w:lang w:eastAsia="zh-CN"/>
        </w:rPr>
        <w:t>统一交至</w:t>
      </w:r>
      <w:r>
        <w:rPr>
          <w:rFonts w:hint="eastAsia" w:ascii="Times New Roman" w:hAnsi="Times New Roman" w:eastAsia="仿宋_GB2312" w:cs="Times New Roman"/>
          <w:color w:val="auto"/>
          <w:sz w:val="32"/>
          <w:lang w:val="en-US" w:eastAsia="zh-CN"/>
        </w:rPr>
        <w:t>服务大厅</w:t>
      </w:r>
      <w:r>
        <w:rPr>
          <w:rFonts w:hint="eastAsia"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lang w:eastAsia="zh-CN"/>
        </w:rPr>
        <w:t>电子材料发送至科研处邮箱</w:t>
      </w:r>
      <w:bookmarkStart w:id="4" w:name="_GoBack"/>
      <w:bookmarkEnd w:id="4"/>
      <w:r>
        <w:rPr>
          <w:rFonts w:hint="default" w:ascii="Times New Roman" w:hAnsi="Times New Roman" w:eastAsia="仿宋_GB2312" w:cs="Times New Roman"/>
          <w:color w:val="auto"/>
          <w:sz w:val="32"/>
          <w:lang w:eastAsia="zh-CN"/>
        </w:rPr>
        <w:t>，文件名称：系部名称+202</w:t>
      </w:r>
      <w:r>
        <w:rPr>
          <w:rFonts w:hint="eastAsia" w:ascii="Times New Roman" w:hAnsi="Times New Roman" w:eastAsia="仿宋_GB2312" w:cs="Times New Roman"/>
          <w:color w:val="auto"/>
          <w:sz w:val="32"/>
          <w:lang w:val="en-US" w:eastAsia="zh-CN"/>
        </w:rPr>
        <w:t>5</w:t>
      </w:r>
      <w:r>
        <w:rPr>
          <w:rFonts w:hint="default" w:ascii="Times New Roman" w:hAnsi="Times New Roman" w:eastAsia="仿宋_GB2312" w:cs="Times New Roman"/>
          <w:color w:val="auto"/>
          <w:sz w:val="32"/>
          <w:lang w:eastAsia="zh-CN"/>
        </w:rPr>
        <w:t>年</w:t>
      </w:r>
      <w:r>
        <w:rPr>
          <w:rFonts w:hint="default" w:ascii="Times New Roman" w:hAnsi="Times New Roman" w:eastAsia="仿宋_GB2312" w:cs="Times New Roman"/>
          <w:color w:val="auto"/>
          <w:sz w:val="32"/>
        </w:rPr>
        <w:t>黔南民族职业技术学院</w:t>
      </w:r>
      <w:r>
        <w:rPr>
          <w:rFonts w:hint="eastAsia" w:ascii="Times New Roman" w:hAnsi="Times New Roman" w:eastAsia="仿宋_GB2312" w:cs="Times New Roman"/>
          <w:color w:val="auto"/>
          <w:sz w:val="32"/>
          <w:lang w:val="en-US" w:eastAsia="zh-CN"/>
        </w:rPr>
        <w:t>院级</w:t>
      </w:r>
      <w:r>
        <w:rPr>
          <w:rFonts w:hint="default" w:ascii="Times New Roman" w:hAnsi="Times New Roman" w:eastAsia="仿宋_GB2312" w:cs="Times New Roman"/>
          <w:color w:val="auto"/>
          <w:sz w:val="32"/>
        </w:rPr>
        <w:t>科研项目</w:t>
      </w:r>
      <w:r>
        <w:rPr>
          <w:rFonts w:hint="default" w:ascii="Times New Roman" w:hAnsi="Times New Roman" w:eastAsia="仿宋_GB2312" w:cs="Times New Roman"/>
          <w:color w:val="auto"/>
          <w:sz w:val="32"/>
          <w:lang w:eastAsia="zh-CN"/>
        </w:rPr>
        <w:t>申报。</w:t>
      </w:r>
    </w:p>
    <w:p w14:paraId="23D776C6">
      <w:pPr>
        <w:pStyle w:val="1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（二）申报截止日期为20</w:t>
      </w:r>
      <w:r>
        <w:rPr>
          <w:rFonts w:hint="default" w:ascii="Times New Roman" w:hAnsi="Times New Roman" w:eastAsia="仿宋_GB2312" w:cs="Times New Roman"/>
          <w:color w:val="auto"/>
          <w:sz w:val="32"/>
          <w:lang w:val="en-US" w:eastAsia="zh-CN"/>
        </w:rPr>
        <w:t>2</w:t>
      </w:r>
      <w:r>
        <w:rPr>
          <w:rFonts w:hint="eastAsia" w:ascii="Times New Roman" w:hAnsi="Times New Roman" w:eastAsia="仿宋_GB2312" w:cs="Times New Roman"/>
          <w:color w:val="auto"/>
          <w:sz w:val="32"/>
          <w:lang w:val="en-US" w:eastAsia="zh-CN"/>
        </w:rPr>
        <w:t>5</w:t>
      </w:r>
      <w:r>
        <w:rPr>
          <w:rFonts w:hint="default" w:ascii="Times New Roman" w:hAnsi="Times New Roman" w:eastAsia="仿宋_GB2312" w:cs="Times New Roman"/>
          <w:color w:val="auto"/>
          <w:sz w:val="32"/>
        </w:rPr>
        <w:t>年</w:t>
      </w:r>
      <w:r>
        <w:rPr>
          <w:rFonts w:hint="eastAsia" w:ascii="Times New Roman" w:hAnsi="Times New Roman" w:eastAsia="仿宋_GB2312" w:cs="Times New Roman"/>
          <w:color w:val="auto"/>
          <w:sz w:val="32"/>
          <w:lang w:val="en-US" w:eastAsia="zh-CN"/>
        </w:rPr>
        <w:t>8</w:t>
      </w:r>
      <w:r>
        <w:rPr>
          <w:rFonts w:hint="default" w:ascii="Times New Roman" w:hAnsi="Times New Roman" w:eastAsia="仿宋_GB2312" w:cs="Times New Roman"/>
          <w:color w:val="auto"/>
          <w:sz w:val="32"/>
        </w:rPr>
        <w:t>月</w:t>
      </w:r>
      <w:r>
        <w:rPr>
          <w:rFonts w:hint="eastAsia" w:ascii="Times New Roman" w:hAnsi="Times New Roman" w:eastAsia="仿宋_GB2312" w:cs="Times New Roman"/>
          <w:color w:val="auto"/>
          <w:sz w:val="32"/>
          <w:lang w:val="en-US" w:eastAsia="zh-CN"/>
        </w:rPr>
        <w:t>20</w:t>
      </w:r>
      <w:r>
        <w:rPr>
          <w:rFonts w:hint="default" w:ascii="Times New Roman" w:hAnsi="Times New Roman" w:eastAsia="仿宋_GB2312" w:cs="Times New Roman"/>
          <w:color w:val="auto"/>
          <w:sz w:val="32"/>
        </w:rPr>
        <w:t>日，逾期不予受理，不接受个人申报。</w:t>
      </w:r>
    </w:p>
    <w:bookmarkEnd w:id="0"/>
    <w:p w14:paraId="025F2507">
      <w:pPr>
        <w:pStyle w:val="13"/>
        <w:keepNext w:val="0"/>
        <w:keepLines w:val="0"/>
        <w:pageBreakBefore w:val="0"/>
        <w:widowControl w:val="0"/>
        <w:kinsoku/>
        <w:wordWrap/>
        <w:overflowPunct/>
        <w:topLinePunct w:val="0"/>
        <w:autoSpaceDE/>
        <w:autoSpaceDN/>
        <w:bidi w:val="0"/>
        <w:adjustRightInd/>
        <w:snapToGrid/>
        <w:spacing w:line="576" w:lineRule="exact"/>
        <w:ind w:right="0"/>
        <w:jc w:val="both"/>
        <w:textAlignment w:val="auto"/>
        <w:rPr>
          <w:rFonts w:hint="default" w:ascii="Times New Roman" w:hAnsi="Times New Roman" w:eastAsia="宋体" w:cs="Times New Roman"/>
          <w:color w:val="auto"/>
          <w:sz w:val="28"/>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hZTc1OGQ5YmMxZWE1YmY1NTU4M2M4YjhmMTEwMzEifQ=="/>
  </w:docVars>
  <w:rsids>
    <w:rsidRoot w:val="00D10DC2"/>
    <w:rsid w:val="000004E9"/>
    <w:rsid w:val="00000CEB"/>
    <w:rsid w:val="00002DA2"/>
    <w:rsid w:val="000045D2"/>
    <w:rsid w:val="00012EA7"/>
    <w:rsid w:val="000214FD"/>
    <w:rsid w:val="00021E79"/>
    <w:rsid w:val="000226C5"/>
    <w:rsid w:val="000251BB"/>
    <w:rsid w:val="00032E6D"/>
    <w:rsid w:val="00034D3F"/>
    <w:rsid w:val="00036568"/>
    <w:rsid w:val="000411C4"/>
    <w:rsid w:val="00047A77"/>
    <w:rsid w:val="00067A11"/>
    <w:rsid w:val="00075779"/>
    <w:rsid w:val="00080077"/>
    <w:rsid w:val="00080175"/>
    <w:rsid w:val="00090126"/>
    <w:rsid w:val="000A797A"/>
    <w:rsid w:val="000B7031"/>
    <w:rsid w:val="000D3A15"/>
    <w:rsid w:val="000E2EC0"/>
    <w:rsid w:val="000F2779"/>
    <w:rsid w:val="00104274"/>
    <w:rsid w:val="001111BE"/>
    <w:rsid w:val="0011406D"/>
    <w:rsid w:val="00115A9D"/>
    <w:rsid w:val="001258D2"/>
    <w:rsid w:val="0012664E"/>
    <w:rsid w:val="0014624E"/>
    <w:rsid w:val="00160D4B"/>
    <w:rsid w:val="00172DD3"/>
    <w:rsid w:val="001858FA"/>
    <w:rsid w:val="001A3163"/>
    <w:rsid w:val="001A48A2"/>
    <w:rsid w:val="001A5A63"/>
    <w:rsid w:val="001B2A49"/>
    <w:rsid w:val="001C459C"/>
    <w:rsid w:val="001D588D"/>
    <w:rsid w:val="001D7B84"/>
    <w:rsid w:val="001E13AE"/>
    <w:rsid w:val="001E4500"/>
    <w:rsid w:val="001F12C9"/>
    <w:rsid w:val="001F1718"/>
    <w:rsid w:val="00200CC8"/>
    <w:rsid w:val="00203853"/>
    <w:rsid w:val="00210811"/>
    <w:rsid w:val="0021308B"/>
    <w:rsid w:val="00214875"/>
    <w:rsid w:val="0023396F"/>
    <w:rsid w:val="00241884"/>
    <w:rsid w:val="002528AC"/>
    <w:rsid w:val="00253758"/>
    <w:rsid w:val="0026344A"/>
    <w:rsid w:val="00274549"/>
    <w:rsid w:val="002769C5"/>
    <w:rsid w:val="00280020"/>
    <w:rsid w:val="00282283"/>
    <w:rsid w:val="002B2A66"/>
    <w:rsid w:val="002C3155"/>
    <w:rsid w:val="002C3597"/>
    <w:rsid w:val="002C52D2"/>
    <w:rsid w:val="002C6619"/>
    <w:rsid w:val="002D52DB"/>
    <w:rsid w:val="002E0E0B"/>
    <w:rsid w:val="002F4A4C"/>
    <w:rsid w:val="002F6685"/>
    <w:rsid w:val="003001DB"/>
    <w:rsid w:val="00307F5A"/>
    <w:rsid w:val="00321908"/>
    <w:rsid w:val="0032397F"/>
    <w:rsid w:val="0033289C"/>
    <w:rsid w:val="003469FB"/>
    <w:rsid w:val="00353983"/>
    <w:rsid w:val="003602D2"/>
    <w:rsid w:val="00361E02"/>
    <w:rsid w:val="00377E3D"/>
    <w:rsid w:val="00394A1A"/>
    <w:rsid w:val="003A5E28"/>
    <w:rsid w:val="003B1D5F"/>
    <w:rsid w:val="003B3FD8"/>
    <w:rsid w:val="003B5334"/>
    <w:rsid w:val="003C0ADE"/>
    <w:rsid w:val="003D3315"/>
    <w:rsid w:val="003D6153"/>
    <w:rsid w:val="003E0A5C"/>
    <w:rsid w:val="003E17F1"/>
    <w:rsid w:val="003F0AB7"/>
    <w:rsid w:val="003F287D"/>
    <w:rsid w:val="003F52D2"/>
    <w:rsid w:val="00402D04"/>
    <w:rsid w:val="0040492A"/>
    <w:rsid w:val="00425AC8"/>
    <w:rsid w:val="00440FBC"/>
    <w:rsid w:val="00441C5B"/>
    <w:rsid w:val="004560BF"/>
    <w:rsid w:val="00470F0B"/>
    <w:rsid w:val="004820BC"/>
    <w:rsid w:val="00483FF2"/>
    <w:rsid w:val="004919E4"/>
    <w:rsid w:val="0049717D"/>
    <w:rsid w:val="004B17A6"/>
    <w:rsid w:val="004B50E9"/>
    <w:rsid w:val="004C312C"/>
    <w:rsid w:val="004D0F13"/>
    <w:rsid w:val="004E395D"/>
    <w:rsid w:val="004E4EC4"/>
    <w:rsid w:val="00502098"/>
    <w:rsid w:val="00503E95"/>
    <w:rsid w:val="005129AA"/>
    <w:rsid w:val="00521431"/>
    <w:rsid w:val="00525F90"/>
    <w:rsid w:val="00532C21"/>
    <w:rsid w:val="005343BF"/>
    <w:rsid w:val="0053491B"/>
    <w:rsid w:val="0053684E"/>
    <w:rsid w:val="00536B89"/>
    <w:rsid w:val="00551BD2"/>
    <w:rsid w:val="00561AF0"/>
    <w:rsid w:val="0057173A"/>
    <w:rsid w:val="00577F66"/>
    <w:rsid w:val="00580B23"/>
    <w:rsid w:val="005867BA"/>
    <w:rsid w:val="005A7A01"/>
    <w:rsid w:val="005C0451"/>
    <w:rsid w:val="005C105A"/>
    <w:rsid w:val="005C42C2"/>
    <w:rsid w:val="005D2476"/>
    <w:rsid w:val="005D258C"/>
    <w:rsid w:val="005E14B8"/>
    <w:rsid w:val="005F1C0F"/>
    <w:rsid w:val="005F70DE"/>
    <w:rsid w:val="00606EBC"/>
    <w:rsid w:val="00616C32"/>
    <w:rsid w:val="00620BF6"/>
    <w:rsid w:val="00624198"/>
    <w:rsid w:val="00642290"/>
    <w:rsid w:val="00643425"/>
    <w:rsid w:val="00650782"/>
    <w:rsid w:val="006510E1"/>
    <w:rsid w:val="006527C0"/>
    <w:rsid w:val="00656F02"/>
    <w:rsid w:val="0066228B"/>
    <w:rsid w:val="00667953"/>
    <w:rsid w:val="006804DD"/>
    <w:rsid w:val="0068466B"/>
    <w:rsid w:val="006863FE"/>
    <w:rsid w:val="006A694F"/>
    <w:rsid w:val="006C345D"/>
    <w:rsid w:val="006C58C9"/>
    <w:rsid w:val="006E6F26"/>
    <w:rsid w:val="006F1B51"/>
    <w:rsid w:val="006F738F"/>
    <w:rsid w:val="00700A73"/>
    <w:rsid w:val="0071088B"/>
    <w:rsid w:val="00713491"/>
    <w:rsid w:val="00732D28"/>
    <w:rsid w:val="00735215"/>
    <w:rsid w:val="007414DE"/>
    <w:rsid w:val="00743CD8"/>
    <w:rsid w:val="00744917"/>
    <w:rsid w:val="00754911"/>
    <w:rsid w:val="00763AF3"/>
    <w:rsid w:val="00772E2B"/>
    <w:rsid w:val="007822A2"/>
    <w:rsid w:val="00795E92"/>
    <w:rsid w:val="00797B16"/>
    <w:rsid w:val="007A3C44"/>
    <w:rsid w:val="007A676A"/>
    <w:rsid w:val="007B3D77"/>
    <w:rsid w:val="007C1F28"/>
    <w:rsid w:val="0080289E"/>
    <w:rsid w:val="0080443E"/>
    <w:rsid w:val="00813CCD"/>
    <w:rsid w:val="0082497D"/>
    <w:rsid w:val="0085570C"/>
    <w:rsid w:val="008718EA"/>
    <w:rsid w:val="00883469"/>
    <w:rsid w:val="0088673D"/>
    <w:rsid w:val="008A3E18"/>
    <w:rsid w:val="008B650E"/>
    <w:rsid w:val="008D77C3"/>
    <w:rsid w:val="008F5C58"/>
    <w:rsid w:val="009031CD"/>
    <w:rsid w:val="009053E3"/>
    <w:rsid w:val="00923DBC"/>
    <w:rsid w:val="00925C2C"/>
    <w:rsid w:val="0092730A"/>
    <w:rsid w:val="009306A8"/>
    <w:rsid w:val="009308E3"/>
    <w:rsid w:val="0093598E"/>
    <w:rsid w:val="00936B03"/>
    <w:rsid w:val="009568A2"/>
    <w:rsid w:val="0096070F"/>
    <w:rsid w:val="00973511"/>
    <w:rsid w:val="00976ABA"/>
    <w:rsid w:val="00977D87"/>
    <w:rsid w:val="009849E1"/>
    <w:rsid w:val="0099069A"/>
    <w:rsid w:val="00992C59"/>
    <w:rsid w:val="009A12FA"/>
    <w:rsid w:val="009A16A1"/>
    <w:rsid w:val="009A69BF"/>
    <w:rsid w:val="009B4735"/>
    <w:rsid w:val="009B5C30"/>
    <w:rsid w:val="009C4166"/>
    <w:rsid w:val="009D32EE"/>
    <w:rsid w:val="009E1692"/>
    <w:rsid w:val="009E1C73"/>
    <w:rsid w:val="009F4655"/>
    <w:rsid w:val="00A0766E"/>
    <w:rsid w:val="00A132B3"/>
    <w:rsid w:val="00A31710"/>
    <w:rsid w:val="00A44C85"/>
    <w:rsid w:val="00A53BB2"/>
    <w:rsid w:val="00A54EB6"/>
    <w:rsid w:val="00A71ECD"/>
    <w:rsid w:val="00A74669"/>
    <w:rsid w:val="00A85E67"/>
    <w:rsid w:val="00A952B2"/>
    <w:rsid w:val="00AA38B7"/>
    <w:rsid w:val="00AB3AED"/>
    <w:rsid w:val="00AB4179"/>
    <w:rsid w:val="00AB586C"/>
    <w:rsid w:val="00AB7E53"/>
    <w:rsid w:val="00AD7AAA"/>
    <w:rsid w:val="00AF1206"/>
    <w:rsid w:val="00B13E1C"/>
    <w:rsid w:val="00B1671D"/>
    <w:rsid w:val="00B23795"/>
    <w:rsid w:val="00B260AE"/>
    <w:rsid w:val="00B268A4"/>
    <w:rsid w:val="00B40134"/>
    <w:rsid w:val="00B40258"/>
    <w:rsid w:val="00B501F4"/>
    <w:rsid w:val="00B57211"/>
    <w:rsid w:val="00B7056E"/>
    <w:rsid w:val="00B7170A"/>
    <w:rsid w:val="00BC426E"/>
    <w:rsid w:val="00BC5861"/>
    <w:rsid w:val="00BD71F0"/>
    <w:rsid w:val="00BD7F4D"/>
    <w:rsid w:val="00BE3BC0"/>
    <w:rsid w:val="00BE6934"/>
    <w:rsid w:val="00BF4D8F"/>
    <w:rsid w:val="00BF6988"/>
    <w:rsid w:val="00C0035D"/>
    <w:rsid w:val="00C05015"/>
    <w:rsid w:val="00C1195A"/>
    <w:rsid w:val="00C12756"/>
    <w:rsid w:val="00C20704"/>
    <w:rsid w:val="00C2178A"/>
    <w:rsid w:val="00C63A8A"/>
    <w:rsid w:val="00C63B61"/>
    <w:rsid w:val="00C74330"/>
    <w:rsid w:val="00C77A0B"/>
    <w:rsid w:val="00C86878"/>
    <w:rsid w:val="00C9052E"/>
    <w:rsid w:val="00C90C26"/>
    <w:rsid w:val="00C910FF"/>
    <w:rsid w:val="00C978A7"/>
    <w:rsid w:val="00CA5054"/>
    <w:rsid w:val="00CA7442"/>
    <w:rsid w:val="00CC41EB"/>
    <w:rsid w:val="00CD3BC8"/>
    <w:rsid w:val="00CD70EF"/>
    <w:rsid w:val="00CF1228"/>
    <w:rsid w:val="00CF793A"/>
    <w:rsid w:val="00D01420"/>
    <w:rsid w:val="00D04232"/>
    <w:rsid w:val="00D10DC2"/>
    <w:rsid w:val="00D201CD"/>
    <w:rsid w:val="00D231E4"/>
    <w:rsid w:val="00D27D98"/>
    <w:rsid w:val="00D31EDD"/>
    <w:rsid w:val="00D46533"/>
    <w:rsid w:val="00D50A4E"/>
    <w:rsid w:val="00D55196"/>
    <w:rsid w:val="00D563BC"/>
    <w:rsid w:val="00D57B9D"/>
    <w:rsid w:val="00D728F8"/>
    <w:rsid w:val="00D72C82"/>
    <w:rsid w:val="00D744A9"/>
    <w:rsid w:val="00D75406"/>
    <w:rsid w:val="00D75FF3"/>
    <w:rsid w:val="00D82C36"/>
    <w:rsid w:val="00D8301B"/>
    <w:rsid w:val="00D9097B"/>
    <w:rsid w:val="00D952F7"/>
    <w:rsid w:val="00DB26E7"/>
    <w:rsid w:val="00DD35F8"/>
    <w:rsid w:val="00DE2D1A"/>
    <w:rsid w:val="00DE3434"/>
    <w:rsid w:val="00E01305"/>
    <w:rsid w:val="00E02424"/>
    <w:rsid w:val="00E1414C"/>
    <w:rsid w:val="00E237CC"/>
    <w:rsid w:val="00E26080"/>
    <w:rsid w:val="00E36CA5"/>
    <w:rsid w:val="00E43C9A"/>
    <w:rsid w:val="00E519A8"/>
    <w:rsid w:val="00E57F82"/>
    <w:rsid w:val="00E63C33"/>
    <w:rsid w:val="00E732EA"/>
    <w:rsid w:val="00E801DC"/>
    <w:rsid w:val="00E860F9"/>
    <w:rsid w:val="00E905FC"/>
    <w:rsid w:val="00E94AD6"/>
    <w:rsid w:val="00E9763F"/>
    <w:rsid w:val="00EA07E9"/>
    <w:rsid w:val="00EA428B"/>
    <w:rsid w:val="00EB25AB"/>
    <w:rsid w:val="00ED1792"/>
    <w:rsid w:val="00EF68FF"/>
    <w:rsid w:val="00F00CAC"/>
    <w:rsid w:val="00F0144E"/>
    <w:rsid w:val="00F23B41"/>
    <w:rsid w:val="00F24E31"/>
    <w:rsid w:val="00F269DE"/>
    <w:rsid w:val="00F50105"/>
    <w:rsid w:val="00F723E1"/>
    <w:rsid w:val="00F83A9D"/>
    <w:rsid w:val="00F93FD5"/>
    <w:rsid w:val="00FB424E"/>
    <w:rsid w:val="00FC20DB"/>
    <w:rsid w:val="00FD40D5"/>
    <w:rsid w:val="01104F48"/>
    <w:rsid w:val="016025FC"/>
    <w:rsid w:val="051E1C14"/>
    <w:rsid w:val="097F79FF"/>
    <w:rsid w:val="0A1B1FF1"/>
    <w:rsid w:val="0B49220E"/>
    <w:rsid w:val="0FD672BB"/>
    <w:rsid w:val="155E2DCD"/>
    <w:rsid w:val="177339A3"/>
    <w:rsid w:val="18C56EFD"/>
    <w:rsid w:val="1B056A5A"/>
    <w:rsid w:val="1F5D22B7"/>
    <w:rsid w:val="205E3E8E"/>
    <w:rsid w:val="21E0486E"/>
    <w:rsid w:val="22547643"/>
    <w:rsid w:val="24B65BAE"/>
    <w:rsid w:val="282E512C"/>
    <w:rsid w:val="2C7F562E"/>
    <w:rsid w:val="32D1799F"/>
    <w:rsid w:val="36A108AF"/>
    <w:rsid w:val="38526945"/>
    <w:rsid w:val="45956F85"/>
    <w:rsid w:val="478E0ADC"/>
    <w:rsid w:val="4A590B8C"/>
    <w:rsid w:val="4B7D5033"/>
    <w:rsid w:val="4C18112F"/>
    <w:rsid w:val="53881CC6"/>
    <w:rsid w:val="538C5F35"/>
    <w:rsid w:val="53A56FC8"/>
    <w:rsid w:val="54BE4BD3"/>
    <w:rsid w:val="565B694F"/>
    <w:rsid w:val="56820BA6"/>
    <w:rsid w:val="594D2D73"/>
    <w:rsid w:val="5A01062E"/>
    <w:rsid w:val="5C576A0B"/>
    <w:rsid w:val="60BE7A4D"/>
    <w:rsid w:val="621A553F"/>
    <w:rsid w:val="64702650"/>
    <w:rsid w:val="6A9D2E82"/>
    <w:rsid w:val="6D823EBE"/>
    <w:rsid w:val="6DF82AF0"/>
    <w:rsid w:val="7571640B"/>
    <w:rsid w:val="75CC1F77"/>
    <w:rsid w:val="7722428D"/>
    <w:rsid w:val="780E3343"/>
    <w:rsid w:val="7A26465B"/>
    <w:rsid w:val="7E040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Date"/>
    <w:basedOn w:val="1"/>
    <w:next w:val="1"/>
    <w:link w:val="17"/>
    <w:semiHidden/>
    <w:unhideWhenUsed/>
    <w:qFormat/>
    <w:uiPriority w:val="99"/>
    <w:pPr>
      <w:ind w:left="100" w:leftChars="2500"/>
    </w:p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rPr>
      <w:sz w:val="24"/>
    </w:rPr>
  </w:style>
  <w:style w:type="table" w:styleId="8">
    <w:name w:val="Table Grid"/>
    <w:basedOn w:val="7"/>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rPr>
  </w:style>
  <w:style w:type="character" w:styleId="11">
    <w:name w:val="Hyperlink"/>
    <w:basedOn w:val="9"/>
    <w:unhideWhenUsed/>
    <w:qFormat/>
    <w:uiPriority w:val="99"/>
    <w:rPr>
      <w:color w:val="0000FF" w:themeColor="hyperlink"/>
      <w:u w:val="single"/>
      <w14:textFill>
        <w14:solidFill>
          <w14:schemeClr w14:val="hlink"/>
        </w14:solidFill>
      </w14:textFill>
    </w:rPr>
  </w:style>
  <w:style w:type="paragraph" w:styleId="12">
    <w:name w:val="List Paragraph"/>
    <w:basedOn w:val="1"/>
    <w:qFormat/>
    <w:uiPriority w:val="34"/>
    <w:pPr>
      <w:ind w:firstLine="420" w:firstLineChars="200"/>
    </w:pPr>
  </w:style>
  <w:style w:type="paragraph" w:styleId="13">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Char"/>
    <w:basedOn w:val="1"/>
    <w:qFormat/>
    <w:uiPriority w:val="0"/>
    <w:rPr>
      <w:rFonts w:ascii="Times New Roman" w:hAnsi="Times New Roman" w:eastAsia="宋体" w:cs="Times New Roman"/>
      <w:szCs w:val="24"/>
    </w:rPr>
  </w:style>
  <w:style w:type="character" w:customStyle="1" w:styleId="15">
    <w:name w:val="页眉 Char"/>
    <w:basedOn w:val="9"/>
    <w:link w:val="5"/>
    <w:qFormat/>
    <w:uiPriority w:val="99"/>
    <w:rPr>
      <w:sz w:val="18"/>
      <w:szCs w:val="18"/>
    </w:rPr>
  </w:style>
  <w:style w:type="character" w:customStyle="1" w:styleId="16">
    <w:name w:val="页脚 Char"/>
    <w:basedOn w:val="9"/>
    <w:link w:val="4"/>
    <w:qFormat/>
    <w:uiPriority w:val="99"/>
    <w:rPr>
      <w:sz w:val="18"/>
      <w:szCs w:val="18"/>
    </w:rPr>
  </w:style>
  <w:style w:type="character" w:customStyle="1" w:styleId="17">
    <w:name w:val="日期 Char"/>
    <w:basedOn w:val="9"/>
    <w:link w:val="3"/>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3B7B2-6630-476B-BDB9-7D4C18700625}">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2069</Words>
  <Characters>2119</Characters>
  <Lines>5</Lines>
  <Paragraphs>1</Paragraphs>
  <TotalTime>1</TotalTime>
  <ScaleCrop>false</ScaleCrop>
  <LinksUpToDate>false</LinksUpToDate>
  <CharactersWithSpaces>2119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2018-06-19T13:32:00Z</dcterms:created>
  <dc:creator>wandongc</dc:creator>
  <cp:lastModifiedBy>Little Monster.</cp:lastModifiedBy>
  <cp:lastPrinted>2025-07-02T00:48:00Z</cp:lastPrinted>
  <dcterms:modified xsi:type="dcterms:W3CDTF">2025-07-11T01:40:54Z</dcterms:modified>
  <cp:revision>293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E7CED148E458461A92A6045E707C95A3_13</vt:lpwstr>
  </property>
</Properties>
</file>